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D8FC55" w14:textId="77777777" w:rsidR="00222F84" w:rsidRPr="00275C82" w:rsidRDefault="00222F84" w:rsidP="00222F84">
      <w:pPr>
        <w:rPr>
          <w:rFonts w:ascii="Gabriola" w:hAnsi="Gabriola"/>
          <w:color w:val="43C3D6" w:themeColor="accent1"/>
          <w:sz w:val="144"/>
          <w:szCs w:val="144"/>
        </w:rPr>
      </w:pPr>
      <w:bookmarkStart w:id="0" w:name="_GoBack"/>
      <w:r w:rsidRPr="00726D81">
        <w:rPr>
          <w:rFonts w:ascii="Gabriola" w:hAnsi="Gabriola"/>
          <w:color w:val="FB4A18" w:themeColor="accent5"/>
          <w:sz w:val="144"/>
          <w:szCs w:val="144"/>
        </w:rPr>
        <w:t>La créativité</w:t>
      </w:r>
      <w:bookmarkEnd w:id="0"/>
    </w:p>
    <w:p w14:paraId="68553E70" w14:textId="406807A3" w:rsidR="00222F84" w:rsidRPr="00284053" w:rsidRDefault="00222F84" w:rsidP="00222F84">
      <w:r w:rsidRPr="00284053">
        <w:t xml:space="preserve">La créativité </w:t>
      </w:r>
      <w:r w:rsidR="00F36F24" w:rsidRPr="00284053">
        <w:rPr>
          <w:noProof/>
          <w:lang w:eastAsia="fr-CA"/>
        </w:rPr>
        <w:drawing>
          <wp:inline distT="0" distB="0" distL="0" distR="0" wp14:anchorId="71F9DE0A" wp14:editId="19C82011">
            <wp:extent cx="265515" cy="266700"/>
            <wp:effectExtent l="0" t="0" r="1270" b="0"/>
            <wp:docPr id="1" name="Image 1" descr="Résultats de recherche d'images pour « ampoule 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s de recherche d'images pour « ampoule »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4995" cy="286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4053">
        <w:t>c’est produire quelque chose de nouveau et de valable. Pour que cette production soit satisfaisante, le créateur doit faire appel à ses propres ressources et à celles de son milieu.</w:t>
      </w:r>
    </w:p>
    <w:p w14:paraId="7C5BB2E2" w14:textId="4E2A1B59" w:rsidR="00222F84" w:rsidRDefault="00222F84" w:rsidP="00222F84">
      <w:r w:rsidRPr="00222F84">
        <w:t>Pour créer, l’individu doit être en état de recevoir, d’accueillir spontanément toutes les idées qui lui viennent à l’esprit. Les œillères tombent, les ornières s’effacent, il doit se laisser guider dans la voie créatrice sans censurer d’aucune manière toute idée nouvelle, aussi farfelue ou fantaisiste qu’elle puisse paraître a priori, afin de ne pas freiner l’illumination ou la solution du problème.</w:t>
      </w:r>
    </w:p>
    <w:p w14:paraId="4FFA8D63" w14:textId="119F193F" w:rsidR="00EC1A77" w:rsidRPr="00275C82" w:rsidRDefault="00EC1A77" w:rsidP="00222F84">
      <w:pPr>
        <w:rPr>
          <w:rFonts w:ascii="Gabriola" w:hAnsi="Gabriola"/>
          <w:color w:val="43C3D6" w:themeColor="accent1"/>
          <w:sz w:val="144"/>
          <w:szCs w:val="144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275C82">
        <w:rPr>
          <w:rFonts w:ascii="Gabriola" w:hAnsi="Gabriola"/>
          <w:color w:val="43C3D6" w:themeColor="accent1"/>
          <w:sz w:val="144"/>
          <w:szCs w:val="144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L’efficacité</w:t>
      </w:r>
    </w:p>
    <w:sectPr w:rsidR="00EC1A77" w:rsidRPr="00275C8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Optimum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F84"/>
    <w:rsid w:val="00222F84"/>
    <w:rsid w:val="00231D86"/>
    <w:rsid w:val="00243A97"/>
    <w:rsid w:val="00275C82"/>
    <w:rsid w:val="00284053"/>
    <w:rsid w:val="002C3D46"/>
    <w:rsid w:val="002D5C3C"/>
    <w:rsid w:val="003D3CCF"/>
    <w:rsid w:val="00422049"/>
    <w:rsid w:val="0043596E"/>
    <w:rsid w:val="0055760E"/>
    <w:rsid w:val="00632998"/>
    <w:rsid w:val="00726D81"/>
    <w:rsid w:val="00960129"/>
    <w:rsid w:val="00967AC3"/>
    <w:rsid w:val="009F72C0"/>
    <w:rsid w:val="00A214A8"/>
    <w:rsid w:val="00A50EE9"/>
    <w:rsid w:val="00A73381"/>
    <w:rsid w:val="00AA01B0"/>
    <w:rsid w:val="00D31AB1"/>
    <w:rsid w:val="00E55848"/>
    <w:rsid w:val="00EC1A77"/>
    <w:rsid w:val="00F10EB1"/>
    <w:rsid w:val="00F36F24"/>
    <w:rsid w:val="00F6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8479E"/>
  <w15:docId w15:val="{66062C75-63FE-4745-8878-72D42A712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eg"/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kognos.pro">
  <a:themeElements>
    <a:clrScheme name="kognos.pro">
      <a:dk1>
        <a:srgbClr val="000000"/>
      </a:dk1>
      <a:lt1>
        <a:srgbClr val="FFFFFF"/>
      </a:lt1>
      <a:dk2>
        <a:srgbClr val="2C2C2C"/>
      </a:dk2>
      <a:lt2>
        <a:srgbClr val="F4F4F4"/>
      </a:lt2>
      <a:accent1>
        <a:srgbClr val="43C3D6"/>
      </a:accent1>
      <a:accent2>
        <a:srgbClr val="174861"/>
      </a:accent2>
      <a:accent3>
        <a:srgbClr val="292F36"/>
      </a:accent3>
      <a:accent4>
        <a:srgbClr val="F1F287"/>
      </a:accent4>
      <a:accent5>
        <a:srgbClr val="FB4A18"/>
      </a:accent5>
      <a:accent6>
        <a:srgbClr val="7F7F7F"/>
      </a:accent6>
      <a:hlink>
        <a:srgbClr val="174861"/>
      </a:hlink>
      <a:folHlink>
        <a:srgbClr val="41A1D2"/>
      </a:folHlink>
    </a:clrScheme>
    <a:fontScheme name="kognos.pro">
      <a:majorFont>
        <a:latin typeface="Optimum"/>
        <a:ea typeface=""/>
        <a:cs typeface=""/>
      </a:majorFont>
      <a:minorFont>
        <a:latin typeface="Calibri Light"/>
        <a:ea typeface=""/>
        <a:cs typeface=""/>
      </a:minorFont>
    </a:fontScheme>
    <a:fmtScheme name="Inté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8000"/>
              </a:schemeClr>
              <a:schemeClr val="phClr">
                <a:shade val="89000"/>
                <a:satMod val="145000"/>
              </a:schemeClr>
            </a:duotone>
          </a:blip>
          <a:tile tx="0" ty="0" sx="32000" sy="32000" flip="none" algn="tl"/>
        </a:blipFill>
        <a:blipFill rotWithShape="1">
          <a:blip xmlns:r="http://schemas.openxmlformats.org/officeDocument/2006/relationships" r:embed="rId2">
            <a:duotone>
              <a:schemeClr val="phClr">
                <a:tint val="98000"/>
              </a:schemeClr>
              <a:schemeClr val="phClr">
                <a:shade val="95000"/>
              </a:schemeClr>
            </a:duotone>
          </a:blip>
          <a:tile tx="0" ty="0" sx="32000" sy="32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kognos.pro" id="{E668198A-CD9B-4F84-9032-4B98D54B0238}" vid="{3B414CCA-A0CA-4B64-BE2F-2B5DC1D19D1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160457-6aa0-4909-a91c-9287aaa86ab2">
      <Terms xmlns="http://schemas.microsoft.com/office/infopath/2007/PartnerControls"/>
    </lcf76f155ced4ddcb4097134ff3c332f>
    <TaxCatchAll xmlns="bc79f59b-4793-4b9b-bfeb-4a058b521e0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6F946D1EAAD47B14E391F7A36809D" ma:contentTypeVersion="13" ma:contentTypeDescription="Crée un document." ma:contentTypeScope="" ma:versionID="ffb1de5739547eff2ad614755f364454">
  <xsd:schema xmlns:xsd="http://www.w3.org/2001/XMLSchema" xmlns:xs="http://www.w3.org/2001/XMLSchema" xmlns:p="http://schemas.microsoft.com/office/2006/metadata/properties" xmlns:ns2="bc79f59b-4793-4b9b-bfeb-4a058b521e04" xmlns:ns3="84160457-6aa0-4909-a91c-9287aaa86ab2" targetNamespace="http://schemas.microsoft.com/office/2006/metadata/properties" ma:root="true" ma:fieldsID="2ad2f4aa7ee3a8c27d3efd9ca9e8590e" ns2:_="" ns3:_="">
    <xsd:import namespace="bc79f59b-4793-4b9b-bfeb-4a058b521e04"/>
    <xsd:import namespace="84160457-6aa0-4909-a91c-9287aaa86a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9f59b-4793-4b9b-bfeb-4a058b521e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9d9d27-4696-4a6f-8de2-f1c9215180fe}" ma:internalName="TaxCatchAll" ma:showField="CatchAllData" ma:web="bc79f59b-4793-4b9b-bfeb-4a058b521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60457-6aa0-4909-a91c-9287aaa86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4ca2df54-f30c-4a44-bf00-531777c995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DFA778-480A-4E2F-B0D9-30E65CF46B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A5219DB-43BC-4709-9705-D43789BC97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FE3C25-720F-4224-BEEA-CCC96D33E41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Exercice</vt:lpstr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Exercice</dc:title>
  <dc:creator>kognos.pro</dc:creator>
  <cp:keywords>Word; 2010</cp:keywords>
  <cp:lastModifiedBy>Lynda Duchesne</cp:lastModifiedBy>
  <cp:revision>10</cp:revision>
  <dcterms:created xsi:type="dcterms:W3CDTF">2017-01-03T20:01:00Z</dcterms:created>
  <dcterms:modified xsi:type="dcterms:W3CDTF">2019-08-09T21:04:00Z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0x010100EA26F946D1EAAD47B14E391F7A36809D</vt:lpwstr>
  </property>
</Properties>
</file>